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附件二</w:t>
      </w:r>
    </w:p>
    <w:p>
      <w:pPr>
        <w:widowControl/>
        <w:spacing w:line="578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</w:p>
    <w:p>
      <w:pPr>
        <w:widowControl/>
        <w:spacing w:line="578" w:lineRule="exact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  <w:t>“老年人能力评估师（三级/高级工）”国家职业技能等级证书申报条件</w:t>
      </w:r>
    </w:p>
    <w:p>
      <w:pPr>
        <w:widowControl/>
        <w:spacing w:line="578" w:lineRule="exact"/>
        <w:jc w:val="left"/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</w:pPr>
    </w:p>
    <w:p>
      <w:pPr>
        <w:widowControl/>
        <w:spacing w:line="578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</w:pP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具备以下条件之一者，可申报三级/高级工：</w:t>
      </w:r>
    </w:p>
    <w:p>
      <w:pPr>
        <w:widowControl/>
        <w:spacing w:line="578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</w:pP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一、取得相关职业</w:t>
      </w:r>
      <w:r>
        <w:rPr>
          <w:rFonts w:ascii="方正仿宋_GBK" w:hAnsi="方正仿宋_GBK" w:eastAsia="方正仿宋_GBK" w:cs="方正仿宋_GBK"/>
          <w:color w:val="222222"/>
          <w:kern w:val="0"/>
          <w:sz w:val="16"/>
          <w:szCs w:val="16"/>
          <w:lang w:bidi="ar"/>
        </w:rPr>
        <w:t>①</w:t>
      </w: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四级/中级工职业资格证书（技能等级证书）后，累计从事本职业或相关职业工作</w:t>
      </w:r>
      <w:r>
        <w:rPr>
          <w:rFonts w:hint="eastAsia" w:ascii="等线" w:hAnsi="等线" w:eastAsia="等线" w:cs="等线"/>
          <w:color w:val="222222"/>
          <w:kern w:val="0"/>
          <w:sz w:val="31"/>
          <w:szCs w:val="31"/>
          <w:lang w:bidi="ar"/>
        </w:rPr>
        <w:t>5</w:t>
      </w: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年（含）以上。</w:t>
      </w:r>
    </w:p>
    <w:p>
      <w:pPr>
        <w:widowControl/>
        <w:spacing w:line="578" w:lineRule="exact"/>
        <w:jc w:val="left"/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</w:pPr>
      <w:r>
        <w:rPr>
          <w:rFonts w:hint="eastAsia"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 xml:space="preserve">    </w:t>
      </w: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二、取得相关职业四级/中级工职业资格证书，并具有高级技工学校、技师学院毕业证书（含尚未取得毕业证书的在校应届毕业生）；或取得相关职业四级/中级工职业资格证书，并具有经评估论证、以高级技能为培养目标的高等职业学校本专业或相关专业毕业证书（含尚未取得毕业证书的在校应届毕业生）。</w:t>
      </w:r>
    </w:p>
    <w:p>
      <w:pPr>
        <w:widowControl/>
        <w:spacing w:line="578" w:lineRule="exact"/>
        <w:jc w:val="left"/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</w:pPr>
      <w:r>
        <w:rPr>
          <w:rFonts w:hint="eastAsia"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 xml:space="preserve">    </w:t>
      </w: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三、具有大专及以上本专业</w:t>
      </w:r>
      <w:r>
        <w:rPr>
          <w:rFonts w:ascii="方正仿宋_GBK" w:hAnsi="方正仿宋_GBK" w:eastAsia="方正仿宋_GBK" w:cs="方正仿宋_GBK"/>
          <w:color w:val="222222"/>
          <w:kern w:val="0"/>
          <w:sz w:val="16"/>
          <w:szCs w:val="16"/>
          <w:lang w:bidi="ar"/>
        </w:rPr>
        <w:t>②</w:t>
      </w: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或相关专业</w:t>
      </w:r>
      <w:r>
        <w:rPr>
          <w:rFonts w:ascii="方正仿宋_GBK" w:hAnsi="方正仿宋_GBK" w:eastAsia="方正仿宋_GBK" w:cs="方正仿宋_GBK"/>
          <w:color w:val="222222"/>
          <w:kern w:val="0"/>
          <w:sz w:val="16"/>
          <w:szCs w:val="16"/>
          <w:lang w:bidi="ar"/>
        </w:rPr>
        <w:t>③</w:t>
      </w: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毕业证书，并取得本职业或相关职业四级/中级工职业资格证书后，累计从事本职业或相关职业工作</w:t>
      </w:r>
      <w:r>
        <w:rPr>
          <w:rFonts w:hint="eastAsia" w:ascii="等线" w:hAnsi="等线" w:eastAsia="等线" w:cs="等线"/>
          <w:color w:val="222222"/>
          <w:kern w:val="0"/>
          <w:sz w:val="31"/>
          <w:szCs w:val="31"/>
          <w:lang w:bidi="ar"/>
        </w:rPr>
        <w:t>2</w:t>
      </w: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年（含）以上。</w:t>
      </w:r>
    </w:p>
    <w:p>
      <w:pPr>
        <w:widowControl/>
        <w:spacing w:line="578" w:lineRule="exact"/>
        <w:ind w:firstLine="620" w:firstLineChars="200"/>
        <w:jc w:val="left"/>
      </w:pP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注：①相关职业：心理治疗技师、康复技师、健康教育医师、康复科医师、社群健康助理员、社区护士、医疗临床辅助服务员、其他健康服务人员、全科医师、中医全科医师、中医亚健康医师、中医康复医师、健康教育医师、内科护士、外科护士、中医护士、乡村医生、其他卫生专业技术人员、内科医师、外科医师、康复科医师、中医内科医师、中医外科医师、中医推拿医师、中医营养师、养老护理员、医疗护理员、健康照护师、健康管理师、保险核保专业人员、保险理赔专业人员、保险代理人、听力师、中医推拿师、心理咨询师、康复辅具工程师、社会工作者、家政服务员等。</w:t>
      </w:r>
    </w:p>
    <w:p>
      <w:pPr>
        <w:widowControl/>
        <w:spacing w:line="578" w:lineRule="exact"/>
        <w:ind w:firstLine="620" w:firstLineChars="200"/>
        <w:jc w:val="left"/>
      </w:pP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②本专业：临床医学、护理、健康管理、心理咨询、社会工作、老年人服务与管理、民政服务与管理、公共事务管理、康复治疗技术、言语听觉康复技术、中医康复技术、预防医学、卫生信息管理、社区康复等</w:t>
      </w:r>
    </w:p>
    <w:p>
      <w:pPr>
        <w:widowControl/>
        <w:spacing w:line="578" w:lineRule="exact"/>
        <w:ind w:firstLine="620" w:firstLineChars="200"/>
        <w:jc w:val="left"/>
      </w:pPr>
      <w:r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  <w:t>③相关专业：分为高等职业学校和普通高校本科两类。高等职业学校专业：中药学、中医骨伤、医学检验技术、眼视光技术、呼吸治疗技术、中医养生保健、公共卫生管理、人口与家庭发展服务、医学营养、公共事务管理、社区管理与服务、民政管理、家政服务与管理；普通高校本科专业：护理学、康复治疗学、临床医学、中药学、眼视光学、运动康复、听力与语言康复学、预防医学、公共事业管理、信息管理与信息系统、食品卫生与营养学、心理学、应用心理学、教育学、家政学、社会学、社会工作、公共事业管理、保险学。</w:t>
      </w:r>
    </w:p>
    <w:p>
      <w:pPr>
        <w:widowControl/>
        <w:spacing w:line="578" w:lineRule="exact"/>
        <w:jc w:val="left"/>
        <w:rPr>
          <w:rFonts w:ascii="方正仿宋_GBK" w:hAnsi="方正仿宋_GBK" w:eastAsia="方正仿宋_GBK" w:cs="方正仿宋_GBK"/>
          <w:color w:val="222222"/>
          <w:kern w:val="0"/>
          <w:sz w:val="31"/>
          <w:szCs w:val="31"/>
          <w:lang w:bidi="ar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E03F0"/>
    <w:rsid w:val="5CC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HP-3</dc:creator>
  <cp:lastModifiedBy>Lillllllllian</cp:lastModifiedBy>
  <dcterms:modified xsi:type="dcterms:W3CDTF">2022-08-19T01:59:49Z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